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41" w:rsidRPr="00E0580E" w:rsidRDefault="00F16155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5 </w:t>
      </w:r>
      <w:r w:rsidR="00217692" w:rsidRPr="00E0580E">
        <w:rPr>
          <w:rFonts w:ascii="Century Gothic" w:hAnsi="Century Gothic"/>
          <w:b/>
          <w:sz w:val="20"/>
        </w:rPr>
        <w:t xml:space="preserve">do ogłoszenia nr </w:t>
      </w:r>
      <w:r w:rsidR="00E6489E">
        <w:rPr>
          <w:b/>
        </w:rPr>
        <w:t>1P/2017</w:t>
      </w:r>
    </w:p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/>
          <w:sz w:val="20"/>
          <w:szCs w:val="20"/>
        </w:rPr>
      </w:pPr>
      <w:r w:rsidRPr="00D93923">
        <w:rPr>
          <w:rFonts w:ascii="Century Gothic" w:eastAsia="Calibri" w:hAnsi="Century Gothic"/>
          <w:sz w:val="20"/>
          <w:szCs w:val="20"/>
        </w:rPr>
        <w:t>KRYTERIA WYBORU OPERACJI</w:t>
      </w:r>
    </w:p>
    <w:p w:rsidR="00D93923" w:rsidRPr="00D93923" w:rsidRDefault="00D93923" w:rsidP="00D93923">
      <w:pPr>
        <w:keepLines/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3B2552" w:rsidRPr="006A7EC2" w:rsidRDefault="003B2552" w:rsidP="003B2552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6A7EC2">
        <w:rPr>
          <w:rFonts w:ascii="Century Gothic" w:hAnsi="Century Gothic"/>
          <w:i/>
          <w:sz w:val="20"/>
          <w:szCs w:val="20"/>
        </w:rPr>
        <w:t>PRZEDSIĘWZIĘCIE IV: Promocja obszaru objętego LSR, w tym produktów i usług lokalnych</w:t>
      </w:r>
    </w:p>
    <w:p w:rsidR="003B2552" w:rsidRPr="006A7EC2" w:rsidRDefault="003B2552" w:rsidP="003B2552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6A7EC2">
        <w:rPr>
          <w:rFonts w:ascii="Century Gothic" w:hAnsi="Century Gothic"/>
          <w:i/>
          <w:sz w:val="20"/>
          <w:szCs w:val="20"/>
        </w:rPr>
        <w:t xml:space="preserve"> (maksymalna liczba punktów- 5</w:t>
      </w:r>
      <w:r w:rsidR="00A770BE">
        <w:rPr>
          <w:rFonts w:ascii="Century Gothic" w:hAnsi="Century Gothic"/>
          <w:i/>
          <w:sz w:val="20"/>
          <w:szCs w:val="20"/>
        </w:rPr>
        <w:t>5</w:t>
      </w:r>
      <w:r w:rsidRPr="006A7EC2">
        <w:rPr>
          <w:rFonts w:ascii="Century Gothic" w:hAnsi="Century Gothic"/>
          <w:i/>
          <w:sz w:val="20"/>
          <w:szCs w:val="20"/>
        </w:rPr>
        <w:t xml:space="preserve"> </w:t>
      </w:r>
      <w:r w:rsidR="00A770BE">
        <w:rPr>
          <w:rFonts w:ascii="Century Gothic" w:hAnsi="Century Gothic"/>
          <w:i/>
          <w:sz w:val="20"/>
          <w:szCs w:val="20"/>
        </w:rPr>
        <w:t>PKT minimalna liczba punktów – 30</w:t>
      </w:r>
      <w:r w:rsidRPr="006A7EC2">
        <w:rPr>
          <w:rFonts w:ascii="Century Gothic" w:hAnsi="Century Gothic"/>
          <w:i/>
          <w:sz w:val="20"/>
          <w:szCs w:val="20"/>
        </w:rPr>
        <w:t xml:space="preserve"> PKT)</w:t>
      </w:r>
    </w:p>
    <w:p w:rsidR="003B2552" w:rsidRPr="006A7EC2" w:rsidRDefault="003B2552" w:rsidP="003B2552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"/>
        <w:gridCol w:w="2636"/>
        <w:gridCol w:w="4977"/>
        <w:gridCol w:w="2440"/>
      </w:tblGrid>
      <w:tr w:rsidR="003B2552" w:rsidRPr="006A7EC2" w:rsidTr="00A770BE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  <w:t>KRYTERIA FORMALNE</w:t>
            </w:r>
          </w:p>
        </w:tc>
      </w:tr>
      <w:tr w:rsidR="003B2552" w:rsidRPr="006A7EC2" w:rsidTr="00A770BE">
        <w:trPr>
          <w:jc w:val="center"/>
        </w:trPr>
        <w:tc>
          <w:tcPr>
            <w:tcW w:w="1441" w:type="pct"/>
            <w:gridSpan w:val="2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  <w:t>KRYTERIUM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DEFINICJA KRYTERIUM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OPIS ZNACZENIA KRYTERIUM</w:t>
            </w:r>
          </w:p>
        </w:tc>
      </w:tr>
      <w:tr w:rsidR="003B2552" w:rsidRPr="006A7EC2" w:rsidTr="00A770BE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3B2552" w:rsidRPr="006A7EC2" w:rsidTr="00A770BE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Zakres operacji jest zgodny z zakresem tematycznym, który został wskazany w ogłoszeniu o naborze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3B2552" w:rsidRPr="006A7EC2" w:rsidTr="00A770BE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  <w:t>KRYTERIUM ZGODNOŚCI OPERACJI Z LSR I PROW 2014-2020</w:t>
            </w:r>
          </w:p>
        </w:tc>
      </w:tr>
      <w:tr w:rsidR="003B2552" w:rsidRPr="006A7EC2" w:rsidTr="00A770BE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Lokalną Strategią Rozwoju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3B2552" w:rsidRPr="006A7EC2" w:rsidTr="00A770BE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PROW 2014-2020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jest zgodna z programem, w ramach którego jest planowana realizacja tej operacji, w tym: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- zgodności z formą wsparcia wskazaną w ogłoszeniu o naborze wniosków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- zgodności z warunkami udzielenia wsparcia obowiązującymi w ramach naboru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</w:tbl>
    <w:p w:rsidR="003B2552" w:rsidRPr="006A7EC2" w:rsidRDefault="003B2552" w:rsidP="003B2552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4"/>
        <w:gridCol w:w="2119"/>
        <w:gridCol w:w="2082"/>
        <w:gridCol w:w="2036"/>
        <w:gridCol w:w="1690"/>
        <w:gridCol w:w="2119"/>
      </w:tblGrid>
      <w:tr w:rsidR="003B2552" w:rsidRPr="006A7EC2" w:rsidTr="00A770BE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  <w:t>LOKALNE KRYTERIA WYBORU</w:t>
            </w:r>
          </w:p>
        </w:tc>
      </w:tr>
      <w:tr w:rsidR="003B2552" w:rsidRPr="006A7EC2" w:rsidTr="00A770BE">
        <w:trPr>
          <w:jc w:val="center"/>
        </w:trPr>
        <w:tc>
          <w:tcPr>
            <w:tcW w:w="1195" w:type="pct"/>
            <w:gridSpan w:val="2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  <w:t>KRYTERIUM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DEFINICJA KRYTERIUM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PRZEWIDYWANE EFEKTY REALIZOWANEJ OPERACJI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WPŁYW PLANOWANEJ OPERACJI NA OSIĄGNIECIE ZAKŁADANYCH CELÓW LSR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PUNKTACJA</w:t>
            </w:r>
          </w:p>
        </w:tc>
      </w:tr>
      <w:tr w:rsidR="003B2552" w:rsidRPr="006A7EC2" w:rsidTr="00A770BE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Operacja wykorzystuje lokalne zasoby ludzkie, kulturowe, historyczne lub przyrodnicze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 zakres wykorzystania potencjału i zasobów lokalnych. Definicja zasobów: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 ludzkich -  mieszkańcy terenu LGD oraz firmy działające na terenie LGD, z usług których zamierza skorzystać wnioskodawca;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kulturowych – rzeczy ruchome i nieruchome wraz ze związanymi z nimi wartościami duchowymi, zjawiskami historycznymi i obyczajowymi uznawane za godne ochrony,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przyrodniczych – obejmujących środowisko naturalne, faunę i florę, elementy geologiczne.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przyczyni się do kompleksowych przedsięwzięć, wykorzystujących lokalne zasoby i potencjał obszaru LGD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Operacje wykorzystujące lokalne zasoby ludzkie, kulturowe, historyczne i przyrodnicze przyczynią się do kompleksowej realizacji LSR, a tym samym lepszej realizacji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szczegółowego I.2.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zakłada wykorzystanie zasobów lokalnych: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1. Jednego lub więcej zasobu – 5 PKT 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2.Operacja nie zakłada wykorzystania  żadnego lokalnego zasobu – 0 PKT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Kryterium subiektywne.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Weryfikowane na podstawie Wniosku wraz z załącznikami.</w:t>
            </w:r>
          </w:p>
        </w:tc>
      </w:tr>
      <w:tr w:rsidR="003B2552" w:rsidRPr="006A7EC2" w:rsidTr="00A770BE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Operacja skierowana jest do mieszkańców z terenu działania LGD w tym do grup  </w:t>
            </w:r>
            <w:proofErr w:type="spellStart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>defaworyzowanych</w:t>
            </w:r>
            <w:proofErr w:type="spellEnd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: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osoby pow. 50 roku życia,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bezrobotni,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-osoby niepełnosprawne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-dzieci i młodzież (od 5 do 20 roku życia)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-mieszkańcy obszarów wiejskich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 xml:space="preserve">Ocenie podlega określenie grup docelowych planowanej operacji, w szczególności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 xml:space="preserve">podejście do grup wykluczonych i </w:t>
            </w:r>
            <w:proofErr w:type="spellStart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defaworyzowanych</w:t>
            </w:r>
            <w:proofErr w:type="spellEnd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. Grupy </w:t>
            </w:r>
            <w:proofErr w:type="spellStart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defaworyzowane</w:t>
            </w:r>
            <w:proofErr w:type="spellEnd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ze względu na dostęp do rynku pracy oraz zagrożenie ubóstwem to min. osoby długotrwale bezrobotne, osoby z niepełnosprawnościami, osoby o niskich kwalifikacjach, kobiety, osoby powyżej 50 roku życia.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 xml:space="preserve">Realizacja operacji przyczyni się do integracji i aktywizacji całej społeczności lokalnej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>oraz pomoże w integracji osób wykluczonych społecznie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 xml:space="preserve">Operacje obejmujące swoim zakresem całą społeczność lokalną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>wraz z grupami  Celu szczegółowego I.2.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lastRenderedPageBreak/>
              <w:t xml:space="preserve">Wśród grup docelowych operacji znajdują się osoby z grup </w:t>
            </w:r>
            <w:proofErr w:type="spellStart"/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defaworyzowanych</w:t>
            </w:r>
            <w:proofErr w:type="spellEnd"/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, 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lastRenderedPageBreak/>
              <w:t>wskazanych w LSR (kryterium weryfikowane będzie w oparciu o zapisy we wniosku i załącznikach do wniosku):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TAK – 10 PKT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NIE – 0 PKT</w:t>
            </w:r>
          </w:p>
        </w:tc>
      </w:tr>
      <w:tr w:rsidR="003B2552" w:rsidRPr="006A7EC2" w:rsidTr="00A770BE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3.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 doświadczenie wnioskodawcy w realizacji projektów dotyczących integracji i aktywizacji mieszkańców oraz ubiegających się o dofinansowanie zewnętrzne. Doświadczenie weryfikowane będzie na podstawie złożonego oświadczenia wnioskodawcy zawierającego informację o nr podpisanej i zrealizowanej umowy na dofinansowanie realizacji inwestycji ze środków zewnętrznych.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Do finansowania wybierane będą projekty, których wnioskodawcy posiadają doświadczenie w realizacji projektów dotyczących integracji i aktywizacji społeczności lokalnej, co przyczyni się do prawidłowej realizacji  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Celu szczegółowego I.2.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posiada doświadczenie w realizacji: 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1. Jednego lub więcej projektu – 5 PKT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2. Wnioskodawca nie posiada doświadczenia w realizacji projektów – 0 PKT</w:t>
            </w:r>
          </w:p>
        </w:tc>
      </w:tr>
      <w:tr w:rsidR="003B2552" w:rsidRPr="006A7EC2" w:rsidTr="00A770BE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4.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Operacja ma charakter innowacyjny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 innowacyjność operacji, polegająca na: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realizacji nowego, niestosowanego dotychczas na obszarze LGD podejścia do integracji i aktywizacji mieszkańców;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wytworzenia nowej usługi lub produktu,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-zastosowaniu nowych sposobów organizacji;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nowatorskim wykorzystaniu zasobów lokalnych;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wykorzystaniu nowoczesnych technik informacyjno-komunikacyjnych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o charakterze innowacyjnym przyczyni się do prawidłowej realizacji LSR, pozwoli na wybór operacji, które w sposób atrakcyjny i z wykorzystaniem nowoczesnych rozwiązań zintegrują i zaktywizują mieszkańców z różnych środowisk społecznych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Operacje innowacyjne przyczynią się do realizacji  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C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elu szczegółowego I.2.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jest innowacyjna: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1.W skali ponadlokalnej (obszar LGD) – 10 PKT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2. W skali lokalnej – 5 PKT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3. Operacja nie jest innowacyjna – 0 PKT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Innowacja rozumiana jako nowatorskie wykorzystanie lokalnych zasobów i /lub działań i/lub sposobów realizacji dotychczas nie stosowanych na obszarze LSR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Definicja: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Innowacja rozumiana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jako: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dostarczenie usługi lub produktu (w tym turystycznego,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- i/lub zrealizowanie inwestycji,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―i/lub nowatorskie wykorzystanie lokalnych zasobów i surowców,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―i/lub wykorzystanie technologii w procesie produkcji / świadczenia usługi,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―i/lub rozwój nowych rynków zbytu dotychczas nieznanych/nie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stosowanych na obszarze LSR.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 xml:space="preserve">karty opisu operacji wraz z 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lastRenderedPageBreak/>
              <w:t>załącznikami.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Innowacja rozumiana jako nowatorskie wykorzystanie lokalnych zasobów i /lub działań i/lub sposobów realizacji dotychczas nie stosowanych na obszarze LSR.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Skala lokalna – obszar gminy na terenie której realizowana będzie inwestycja.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Skala ponadlokalna – obszar działania LGD</w:t>
            </w: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:rsidR="003B2552" w:rsidRPr="006A7EC2" w:rsidRDefault="003B2552" w:rsidP="00A770B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Innowacyjność operacji weryfikowana będzie na podstawie zapisów we wniosku oraz załącznikach do wniosku.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</w:tr>
      <w:tr w:rsidR="003B2552" w:rsidRPr="006A7EC2" w:rsidTr="00A770BE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5.</w:t>
            </w:r>
          </w:p>
        </w:tc>
        <w:tc>
          <w:tcPr>
            <w:tcW w:w="1017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8"/>
            </w:tblGrid>
            <w:tr w:rsidR="003B2552" w:rsidRPr="006A7EC2" w:rsidTr="00A770BE">
              <w:trPr>
                <w:trHeight w:val="100"/>
              </w:trPr>
              <w:tc>
                <w:tcPr>
                  <w:tcW w:w="0" w:type="auto"/>
                </w:tcPr>
                <w:p w:rsidR="003B2552" w:rsidRPr="006A7EC2" w:rsidRDefault="003B2552" w:rsidP="00A770BE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6A7EC2">
                    <w:rPr>
                      <w:rFonts w:ascii="Century Gothic" w:hAnsi="Century Gothic"/>
                      <w:sz w:val="12"/>
                      <w:szCs w:val="12"/>
                    </w:rPr>
                    <w:t xml:space="preserve">Wysokość wkładu własnego </w:t>
                  </w:r>
                </w:p>
              </w:tc>
            </w:tr>
          </w:tbl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zamierza realizować operację również ze środków własnych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gwarantuje wniesienie finansowego wkładu własnego liczonego w stosunku do wysokości wsparcia, na poziomie: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1.Więcej niż 10 punktów % powyżej wkładu minimalnego – 10 PKT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2.Do 10 punktów % włącznie powyżej wkładu minimalnego- 5 PKT</w:t>
            </w:r>
          </w:p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Poziom wkładu własnego obliczany w następujący sposób: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(Kwalifikowane Koszty całkowite – wnioskowana kwota pomocy) X 100 / Kwalifikowane koszty całkowite).</w:t>
            </w:r>
          </w:p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</w:tr>
      <w:tr w:rsidR="003B2552" w:rsidRPr="006A7EC2" w:rsidTr="00A770BE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6.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Wnioskodawca korzystał z udzielonego przez LGD doradztwa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3B2552" w:rsidRPr="006A7EC2" w:rsidRDefault="003B2552" w:rsidP="00A770BE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w okresie od ogłoszenia naboru do momentu złożenia wniosku korzystał z doradztwa LGD:</w:t>
            </w:r>
          </w:p>
          <w:p w:rsidR="003B2552" w:rsidRPr="006A7EC2" w:rsidRDefault="003B2552" w:rsidP="003B2552">
            <w:pPr>
              <w:numPr>
                <w:ilvl w:val="1"/>
                <w:numId w:val="27"/>
              </w:num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TAK – 10 PKT</w:t>
            </w:r>
          </w:p>
          <w:p w:rsidR="003B2552" w:rsidRPr="006A7EC2" w:rsidRDefault="003B2552" w:rsidP="003B2552">
            <w:pPr>
              <w:numPr>
                <w:ilvl w:val="1"/>
                <w:numId w:val="27"/>
              </w:num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NIE – 0 PKT</w:t>
            </w:r>
          </w:p>
        </w:tc>
      </w:tr>
    </w:tbl>
    <w:p w:rsidR="003B2552" w:rsidRPr="006A7EC2" w:rsidRDefault="003B2552" w:rsidP="003B2552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:rsidR="007A5C69" w:rsidRDefault="007A5C69" w:rsidP="00217692">
      <w:pPr>
        <w:rPr>
          <w:rFonts w:ascii="Century Gothic" w:hAnsi="Century Gothic"/>
          <w:b/>
          <w:i/>
        </w:rPr>
      </w:pPr>
      <w:bookmarkStart w:id="0" w:name="_GoBack"/>
      <w:bookmarkEnd w:id="0"/>
    </w:p>
    <w:sectPr w:rsidR="007A5C69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B6" w:rsidRDefault="004324B6" w:rsidP="0027022E">
      <w:r>
        <w:separator/>
      </w:r>
    </w:p>
  </w:endnote>
  <w:endnote w:type="continuationSeparator" w:id="0">
    <w:p w:rsidR="004324B6" w:rsidRDefault="004324B6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7C6208" wp14:editId="0FC96E41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B6" w:rsidRDefault="004324B6" w:rsidP="0027022E">
      <w:r>
        <w:separator/>
      </w:r>
    </w:p>
  </w:footnote>
  <w:footnote w:type="continuationSeparator" w:id="0">
    <w:p w:rsidR="004324B6" w:rsidRDefault="004324B6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39112CA" wp14:editId="7F8AA8D8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A731A"/>
    <w:rsid w:val="003B2552"/>
    <w:rsid w:val="003F6BD2"/>
    <w:rsid w:val="004324B6"/>
    <w:rsid w:val="00454F9A"/>
    <w:rsid w:val="004C1734"/>
    <w:rsid w:val="004C5C64"/>
    <w:rsid w:val="004E449C"/>
    <w:rsid w:val="00566F4C"/>
    <w:rsid w:val="00571088"/>
    <w:rsid w:val="005A3239"/>
    <w:rsid w:val="00696351"/>
    <w:rsid w:val="006D13CA"/>
    <w:rsid w:val="006E47CE"/>
    <w:rsid w:val="006E5745"/>
    <w:rsid w:val="006E5BB8"/>
    <w:rsid w:val="007343A0"/>
    <w:rsid w:val="0077603A"/>
    <w:rsid w:val="007A5C69"/>
    <w:rsid w:val="007C0658"/>
    <w:rsid w:val="007C3CDD"/>
    <w:rsid w:val="007C62C6"/>
    <w:rsid w:val="007D049B"/>
    <w:rsid w:val="007E68C9"/>
    <w:rsid w:val="007F4257"/>
    <w:rsid w:val="00825327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678EF"/>
    <w:rsid w:val="00996153"/>
    <w:rsid w:val="0099743B"/>
    <w:rsid w:val="009B1E16"/>
    <w:rsid w:val="009C4EBB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EE67-53D0-45BD-A813-FC6C98CA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2017-07-04T11:00:00Z</cp:lastPrinted>
  <dcterms:created xsi:type="dcterms:W3CDTF">2017-08-27T21:44:00Z</dcterms:created>
  <dcterms:modified xsi:type="dcterms:W3CDTF">2017-08-27T21:45:00Z</dcterms:modified>
</cp:coreProperties>
</file>