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A579F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13  DO OGŁOSZENIA 4T</w:t>
      </w:r>
      <w:bookmarkStart w:id="0" w:name="_GoBack"/>
      <w:bookmarkEnd w:id="0"/>
      <w:r w:rsidR="002B0B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/2021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86-022 Dobrcz, Gądecz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2529F5" w:rsidRPr="000A497A">
          <w:rPr>
            <w:rStyle w:val="Hipercze"/>
            <w:rFonts w:ascii="Times New Roman" w:hAnsi="Times New Roman" w:cs="Times New Roman"/>
            <w:sz w:val="20"/>
            <w:szCs w:val="20"/>
          </w:rPr>
          <w:t>lgd.trzydoliny@gmail.com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C97142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2529F5" w:rsidRDefault="002529F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9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lgd.trzydoliny@gmail.com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42" w:rsidRDefault="00C97142" w:rsidP="007417CA">
      <w:pPr>
        <w:spacing w:after="0" w:line="240" w:lineRule="auto"/>
      </w:pPr>
      <w:r>
        <w:separator/>
      </w:r>
    </w:p>
  </w:endnote>
  <w:endnote w:type="continuationSeparator" w:id="0">
    <w:p w:rsidR="00C97142" w:rsidRDefault="00C9714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A579FA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A579FA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42" w:rsidRDefault="00C97142" w:rsidP="007417CA">
      <w:pPr>
        <w:spacing w:after="0" w:line="240" w:lineRule="auto"/>
      </w:pPr>
      <w:r>
        <w:separator/>
      </w:r>
    </w:p>
  </w:footnote>
  <w:footnote w:type="continuationSeparator" w:id="0">
    <w:p w:rsidR="00C97142" w:rsidRDefault="00C97142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5DE9"/>
    <w:rsid w:val="00010A08"/>
    <w:rsid w:val="000175A6"/>
    <w:rsid w:val="00032BA3"/>
    <w:rsid w:val="000417A1"/>
    <w:rsid w:val="00041E7E"/>
    <w:rsid w:val="00044AD0"/>
    <w:rsid w:val="00052283"/>
    <w:rsid w:val="000558AF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4E1"/>
    <w:rsid w:val="001678D6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29F5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0B19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5034"/>
    <w:rsid w:val="00577777"/>
    <w:rsid w:val="005809CF"/>
    <w:rsid w:val="005936EA"/>
    <w:rsid w:val="005A1959"/>
    <w:rsid w:val="005B2B43"/>
    <w:rsid w:val="005B33E4"/>
    <w:rsid w:val="005B77AE"/>
    <w:rsid w:val="005C034F"/>
    <w:rsid w:val="005C06BF"/>
    <w:rsid w:val="005C2EAE"/>
    <w:rsid w:val="005C2F6B"/>
    <w:rsid w:val="005D4BEE"/>
    <w:rsid w:val="005E0331"/>
    <w:rsid w:val="0060155A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570E9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9F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44DA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97142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65BD5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B7C6F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E2A5-F433-448C-88F7-0BFEC708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2</cp:revision>
  <cp:lastPrinted>2019-09-25T09:15:00Z</cp:lastPrinted>
  <dcterms:created xsi:type="dcterms:W3CDTF">2021-04-22T08:44:00Z</dcterms:created>
  <dcterms:modified xsi:type="dcterms:W3CDTF">2021-04-22T08:44:00Z</dcterms:modified>
</cp:coreProperties>
</file>