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28" w:rsidRPr="00270B8A" w:rsidRDefault="00756128" w:rsidP="00756128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270B8A">
        <w:rPr>
          <w:rFonts w:ascii="Century Gothic" w:hAnsi="Century Gothic"/>
          <w:sz w:val="20"/>
          <w:szCs w:val="20"/>
        </w:rPr>
        <w:t xml:space="preserve">ZAKRES TEMATYCZNY PROW: </w:t>
      </w:r>
      <w:r w:rsidRPr="00270B8A">
        <w:rPr>
          <w:rFonts w:ascii="Century Gothic" w:hAnsi="Century Gothic"/>
          <w:b/>
          <w:sz w:val="20"/>
          <w:szCs w:val="20"/>
        </w:rPr>
        <w:t>ROZWÓJ PRZEDSIĘBIORCZOŚCI NA OBSZARZE WIEJSKIM OBJĘTYM STRATEGIĄ ROZWOJU LOKALNEGO POPRZEZ PODEJMOWANIE LUB ROZWIJANIE DZIAŁALNOŚCI GOSPODARCZEJ</w:t>
      </w:r>
    </w:p>
    <w:p w:rsidR="00756128" w:rsidRPr="001E6230" w:rsidRDefault="00756128" w:rsidP="00756128">
      <w:pPr>
        <w:spacing w:after="0"/>
        <w:rPr>
          <w:rFonts w:ascii="Century Gothic" w:hAnsi="Century Gothic"/>
          <w:sz w:val="16"/>
          <w:szCs w:val="16"/>
        </w:rPr>
      </w:pPr>
    </w:p>
    <w:p w:rsidR="00756128" w:rsidRPr="00270B8A" w:rsidRDefault="00756128" w:rsidP="00756128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270B8A">
        <w:rPr>
          <w:rFonts w:ascii="Century Gothic" w:hAnsi="Century Gothic"/>
          <w:sz w:val="20"/>
          <w:szCs w:val="20"/>
        </w:rPr>
        <w:t xml:space="preserve">PRZEDSIĘWZIĘCIE V: </w:t>
      </w:r>
      <w:r w:rsidRPr="00270B8A">
        <w:rPr>
          <w:rFonts w:ascii="Century Gothic" w:hAnsi="Century Gothic"/>
          <w:b/>
          <w:sz w:val="20"/>
          <w:szCs w:val="20"/>
        </w:rPr>
        <w:t>Konkurencyjna gospodarka lokalna</w:t>
      </w:r>
    </w:p>
    <w:p w:rsidR="00756128" w:rsidRPr="001E6230" w:rsidRDefault="00756128" w:rsidP="0075612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(przy rozwijaniu działalności gospodarc</w:t>
      </w:r>
      <w:r>
        <w:rPr>
          <w:rFonts w:ascii="Century Gothic" w:hAnsi="Century Gothic"/>
          <w:sz w:val="16"/>
          <w:szCs w:val="16"/>
        </w:rPr>
        <w:t>zej maksymalna liczba punktów-85</w:t>
      </w:r>
      <w:r w:rsidRPr="001E6230">
        <w:rPr>
          <w:rFonts w:ascii="Century Gothic" w:hAnsi="Century Gothic"/>
          <w:sz w:val="16"/>
          <w:szCs w:val="16"/>
        </w:rPr>
        <w:t xml:space="preserve"> P</w:t>
      </w:r>
      <w:r>
        <w:rPr>
          <w:rFonts w:ascii="Century Gothic" w:hAnsi="Century Gothic"/>
          <w:sz w:val="16"/>
          <w:szCs w:val="16"/>
        </w:rPr>
        <w:t>KT minimalna liczba punktów – 40</w:t>
      </w:r>
      <w:r w:rsidRPr="001E6230">
        <w:rPr>
          <w:rFonts w:ascii="Century Gothic" w:hAnsi="Century Gothic"/>
          <w:sz w:val="16"/>
          <w:szCs w:val="16"/>
        </w:rPr>
        <w:t xml:space="preserve"> PKT, przy podejmowaniu działalności gospodarc</w:t>
      </w:r>
      <w:r>
        <w:rPr>
          <w:rFonts w:ascii="Century Gothic" w:hAnsi="Century Gothic"/>
          <w:sz w:val="16"/>
          <w:szCs w:val="16"/>
        </w:rPr>
        <w:t>zej maksymalna liczba punktów 75PKT minimalna 35</w:t>
      </w:r>
      <w:r w:rsidRPr="001E6230">
        <w:rPr>
          <w:rFonts w:ascii="Century Gothic" w:hAnsi="Century Gothic"/>
          <w:sz w:val="16"/>
          <w:szCs w:val="16"/>
        </w:rPr>
        <w:t>PKT)</w:t>
      </w:r>
    </w:p>
    <w:p w:rsidR="00756128" w:rsidRPr="001E6230" w:rsidRDefault="00756128" w:rsidP="00756128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2835"/>
        <w:gridCol w:w="5528"/>
        <w:gridCol w:w="6520"/>
      </w:tblGrid>
      <w:tr w:rsidR="00756128" w:rsidRPr="00270B8A" w:rsidTr="00BD73CA">
        <w:tc>
          <w:tcPr>
            <w:tcW w:w="153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756128" w:rsidRPr="001E6230" w:rsidTr="00BD73CA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756128" w:rsidRPr="00270B8A" w:rsidTr="00BD73CA">
        <w:tc>
          <w:tcPr>
            <w:tcW w:w="153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756128" w:rsidRPr="001E6230" w:rsidTr="00BD73CA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warunkami udzielenia wsparcia obowiązującymi w ramach naboru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756128" w:rsidRPr="001E6230" w:rsidRDefault="00756128" w:rsidP="00756128">
      <w:pPr>
        <w:spacing w:after="0"/>
        <w:rPr>
          <w:rFonts w:ascii="Century Gothic" w:hAnsi="Century Gothic"/>
          <w:sz w:val="16"/>
          <w:szCs w:val="16"/>
        </w:rPr>
      </w:pPr>
    </w:p>
    <w:p w:rsidR="00756128" w:rsidRDefault="00756128" w:rsidP="00756128">
      <w: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985"/>
        <w:gridCol w:w="2551"/>
        <w:gridCol w:w="1701"/>
        <w:gridCol w:w="2410"/>
        <w:gridCol w:w="6237"/>
      </w:tblGrid>
      <w:tr w:rsidR="00756128" w:rsidRPr="00270B8A" w:rsidTr="00BD73CA">
        <w:trPr>
          <w:cantSplit/>
        </w:trPr>
        <w:tc>
          <w:tcPr>
            <w:tcW w:w="15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270B8A" w:rsidRDefault="00756128" w:rsidP="00BD73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70B8A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756128" w:rsidRPr="001E6230" w:rsidTr="00BD73C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PRZEWIDYWANE EFEKTY REALIZOWANEJ OPERACJI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WPŁYW PLANOWANEJ OPERACJI NA OSIĄGNIECIE ZAKŁADANYCH CELÓW LSR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1E6230" w:rsidRDefault="00756128" w:rsidP="00BD73CA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PUNKTACJA</w:t>
            </w: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>Operacja dotyczy działalności gospodarczej w zakresie</w:t>
            </w:r>
            <w:r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 wykorzystania </w:t>
            </w: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lokalnych zasobów </w:t>
            </w:r>
            <w:r>
              <w:rPr>
                <w:rFonts w:ascii="Century Gothic" w:eastAsia="Calibri" w:hAnsi="Century Gothic" w:cs="Century Gothic"/>
                <w:sz w:val="14"/>
                <w:szCs w:val="14"/>
              </w:rPr>
              <w:t>.</w:t>
            </w: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Ocenie podlega zakres wykorzystania potencjału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(lokalni usługodawcy z którymi wnioskodawca może nawiązać współpracę)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zasobów lokalnych:</w:t>
            </w:r>
          </w:p>
          <w:p w:rsidR="00756128" w:rsidRDefault="00756128" w:rsidP="00BD73CA">
            <w:pPr>
              <w:spacing w:after="0" w:line="240" w:lineRule="auto"/>
              <w:jc w:val="both"/>
              <w:rPr>
                <w:rFonts w:ascii="Century Gothic" w:eastAsia="Calibri" w:hAnsi="Century Gothic" w:cs="Century Gothic"/>
                <w:sz w:val="14"/>
                <w:szCs w:val="14"/>
              </w:rPr>
            </w:pP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>Lokalne zasoby – walory przyrodnicze, kulturowe, historyczne, tradycyjne, rzemieślnicze, produkty rolne, produkty lokalne. Każdy z produktów musi być nierozłącznie związany z obszarem LSR (występujące na  terenie gmin należących do LGD „Trzy Doliny”)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produktów i usług opartych na lokalnych zasobach wpłynie pozytywnie na rozwój gospodarczy obszaru i  przyczyni się do kompleksowej realizacji LSR, a tym samym lepszej reali</w:t>
            </w:r>
            <w:r>
              <w:rPr>
                <w:rFonts w:ascii="Century Gothic" w:hAnsi="Century Gothic"/>
                <w:sz w:val="14"/>
                <w:szCs w:val="14"/>
              </w:rPr>
              <w:t>zacji   Celu szczegółowego II. 1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1.Połączenie produktów i usług opartych na lokalnych zasobach                    – 20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Lokalne produkty – 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3. Lokalne usługi </w:t>
            </w:r>
            <w:r>
              <w:rPr>
                <w:rFonts w:ascii="Century Gothic" w:hAnsi="Century Gothic"/>
                <w:sz w:val="14"/>
                <w:szCs w:val="14"/>
              </w:rPr>
              <w:t>oparte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na lokalnych zasobach                   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– 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 Operacja nie dotyczy tworzenia i rozwoju produktów lub usług lokalnych – 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EF35C8" w:rsidRDefault="00756128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Zastosowanie rozwiązań</w:t>
            </w:r>
          </w:p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sprzyjających ochronie</w:t>
            </w:r>
          </w:p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b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środowiska i/lub klimatu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 xml:space="preserve">Preferuje operacje odnoszące się do kwestii horyzontalnych PROW, tj. w ramach których </w:t>
            </w:r>
            <w:r>
              <w:rPr>
                <w:rFonts w:ascii="Century Gothic" w:hAnsi="Century Gothic" w:cs="Times New Roman"/>
                <w:sz w:val="14"/>
                <w:szCs w:val="14"/>
              </w:rPr>
              <w:t>z</w:t>
            </w:r>
            <w:r w:rsidRPr="008A54C8">
              <w:rPr>
                <w:rFonts w:ascii="Century Gothic" w:hAnsi="Century Gothic" w:cs="Times New Roman"/>
                <w:sz w:val="14"/>
                <w:szCs w:val="14"/>
              </w:rPr>
              <w:t xml:space="preserve">astosowano rozwiązania sprzyjające ochronie środowiska i/lub klimatu. </w:t>
            </w:r>
            <w:r w:rsidRPr="008A54C8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756128" w:rsidRPr="008A54C8" w:rsidRDefault="00756128" w:rsidP="00BD73CA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8A54C8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 będzie  weryfikowane  na  podstawie wniosku  o  przyznanie  pomocy  oraz  konkretnych założeń biznesplanu(części opisowej)</w:t>
            </w:r>
            <w:r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 xml:space="preserve">, a także na podstawie załączonych </w:t>
            </w:r>
            <w:r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lastRenderedPageBreak/>
              <w:t>certyfikatów i zaświadczeń.</w:t>
            </w:r>
          </w:p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8A54C8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jest subiektywną oceną członka Rady LGD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lastRenderedPageBreak/>
              <w:t xml:space="preserve">Realizacja operacji z zastosowaniem rozwiązań korzystnych (rozwiązań pozwalających ograniczyć lub wyeliminować zanieczyszczenie wody, gleby, powietrza) dla środowiska naturalnego przyczyni się do poprawy jakości </w:t>
            </w:r>
            <w:r w:rsidRPr="008A54C8">
              <w:rPr>
                <w:rFonts w:ascii="Century Gothic" w:hAnsi="Century Gothic" w:cs="Times New Roman"/>
                <w:sz w:val="14"/>
                <w:szCs w:val="14"/>
              </w:rPr>
              <w:lastRenderedPageBreak/>
              <w:t>środowiska, które jest cennym bogactwem obszaru LGD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 w:cs="Times New Roman"/>
                <w:sz w:val="14"/>
                <w:szCs w:val="14"/>
              </w:rPr>
              <w:lastRenderedPageBreak/>
              <w:t xml:space="preserve">Operacje stosujące rozwiązania korzystne dla środowiska naturalnego przyczynią się do osiągnięcia wszystkich celów LSR a w szczególności </w:t>
            </w:r>
            <w:r w:rsidRPr="00487719">
              <w:rPr>
                <w:rFonts w:ascii="Century Gothic" w:hAnsi="Century Gothic"/>
                <w:sz w:val="14"/>
                <w:szCs w:val="14"/>
              </w:rPr>
              <w:t>Celu szczegółowego II.1.</w:t>
            </w:r>
          </w:p>
          <w:p w:rsidR="00756128" w:rsidRPr="008A54C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Operacja zakłada zastosowanie rozwiązań korzystnych dla środowiska naturalnego:</w:t>
            </w:r>
          </w:p>
          <w:p w:rsidR="00756128" w:rsidRPr="008A54C8" w:rsidRDefault="00756128" w:rsidP="007561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TAK- 10 PKT</w:t>
            </w:r>
          </w:p>
          <w:p w:rsidR="00756128" w:rsidRPr="008A54C8" w:rsidRDefault="00756128" w:rsidP="007561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  <w:r w:rsidRPr="008A54C8">
              <w:rPr>
                <w:rFonts w:ascii="Century Gothic" w:hAnsi="Century Gothic" w:cs="Times New Roman"/>
                <w:sz w:val="14"/>
                <w:szCs w:val="14"/>
              </w:rPr>
              <w:t>NIE – 0 PKT</w:t>
            </w:r>
          </w:p>
          <w:p w:rsidR="00756128" w:rsidRPr="008A54C8" w:rsidRDefault="00756128" w:rsidP="00BD73CA">
            <w:pPr>
              <w:jc w:val="center"/>
              <w:rPr>
                <w:rFonts w:ascii="Century Gothic" w:hAnsi="Century Gothic" w:cs="Times New Roman"/>
                <w:sz w:val="14"/>
                <w:szCs w:val="14"/>
              </w:rPr>
            </w:pP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E7485C">
              <w:rPr>
                <w:rFonts w:ascii="Century Gothic" w:hAnsi="Century Gothic" w:cs="Times New Roman"/>
                <w:sz w:val="14"/>
                <w:szCs w:val="14"/>
              </w:rPr>
              <w:t>Premiowane będą operacje zawierające elementy o charakterze innowacyjnym,   polegające   na wdrożeniu  na  obszarze  LSR  nowego, znacząco udoskonalonego lub   wykonanego   w nowatorski sposób produktu, usługi, procesu, organizacji lub nowego sposobu wykorzystania lub zmobilizowania  istniejących lokalnych zasobów przyrodniczych, historycznych,  kulturowych  czy społecznych.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Innowacja rozumiana jako nowatorskie wykorzystanie lokalnych zasobów i /lub działań i/lub sposobów realizacji dotychczas nie stosowanych na obszarze LSR.</w:t>
            </w:r>
          </w:p>
          <w:p w:rsidR="00756128" w:rsidRPr="00E7485C" w:rsidRDefault="00756128" w:rsidP="00BD73CA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</w:p>
          <w:p w:rsidR="00756128" w:rsidRPr="00E7485C" w:rsidRDefault="00756128" w:rsidP="00BD73CA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E7485C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 będzie  weryfikowane  na  podstawie wniosku  o  przyznanie  pomocy  oraz  konkretnych założeń biznesplanu (części opisowej)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E7485C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jest subiektywną oceną członka Rady LGD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 xml:space="preserve">Realizacja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o charakterze innowacyjnym przyczyni się do prawidłowej realizacji LSR, pozwoli na wybór operacji, które w sposób atrakcyjny 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>z wykorzystaniem nowoczesnych rozwiązań będą edukować mieszkańców w różnych dziedzinach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Operacje innowacyjne przyczynią się d</w:t>
            </w:r>
            <w:r>
              <w:rPr>
                <w:rFonts w:ascii="Century Gothic" w:hAnsi="Century Gothic"/>
                <w:sz w:val="14"/>
                <w:szCs w:val="14"/>
              </w:rPr>
              <w:t xml:space="preserve">o realizacji  Celu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szczegółowego II.1.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 xml:space="preserve">LGD preferuje operacje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o charakterze innowacyjnym. 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1) operacja jest innowacyjna  - 5 PKT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2) operacja nie jest innowacyjna – 0 PKT</w:t>
            </w: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C756C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Realizacja operacji zakłada utworzenie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dodatkowych miejsc pracy ponad wymagane minimum (gdzie minimum to: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 jeden nowy etat w przeliczeniu na pełne etaty średnioroczne, dla rozwijania działalności,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samozatrudnienie lub minimum jeden nowy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pełny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etat dla podejmowania działalności).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Ocenie podlega, czy zakres operacji przewiduje utworzenie </w:t>
            </w:r>
            <w:r>
              <w:rPr>
                <w:rFonts w:ascii="Century Gothic" w:hAnsi="Century Gothic"/>
                <w:sz w:val="14"/>
                <w:szCs w:val="14"/>
              </w:rPr>
              <w:lastRenderedPageBreak/>
              <w:t xml:space="preserve">nowych miejsc pracy ponad wymagane minimum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w przeliczeniu na pełne etaty średnioroczne i utrzymanie go przez okres co najmniej: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- 3 lat od momentu wypłaty płatności końcowej w przypadku rozwijania działalności gospodarczej,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- 2 lata w przypadku podejmowania działalności gospodarczej.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Realizacja operacji zwiększy poziom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zatrudnienia na obszarze LGD, powstaną nowe firmy, zatrudniające pracowników lub nastąpi rozwój już istniejących firm.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Rozwój lokalnego rynku pracy przyczyni się do osiągnięcia </w:t>
            </w: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celów LSR w zakresie gospodarki i wpłynie na konkurencyjność obszaru oraz przyczyni się do realizacji Celu szczegółowego II.1.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>i turystyki wiejskiej oraz  Celu ogólnego II Wykorzystanie lokalnych zasobów przyrodniczych kulturowych i turystycznych jako stymulator rozwoju gospodarczego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Operacja zakłada utworzenie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ponad wymagane minimum</w:t>
            </w:r>
            <w:r w:rsidRPr="00487719">
              <w:rPr>
                <w:rFonts w:ascii="Century Gothic" w:hAnsi="Century Gothic"/>
                <w:sz w:val="14"/>
                <w:szCs w:val="14"/>
              </w:rPr>
              <w:t>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1. Trzech lub więcej miejsc pracy – 20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Dwóch miejsc pracy                -10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3. Jednego miejsca pracy-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5 PKT 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 Żadnego miejsca pracy – 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Jako miejsce pracy należy rozumieć utworzony etat średnioroczny. Możliwe jest tworzenie etatów niepełnych, jednak w efekcie końcowym ich suma musi wynieść co najmniej 1 etat średnioroczny.</w:t>
            </w:r>
          </w:p>
        </w:tc>
      </w:tr>
      <w:tr w:rsidR="00756128" w:rsidRPr="001E6230" w:rsidTr="00BD7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Kryterium dotyczy rozwijania działalności gospodarczej.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doświadczenie wnioskodawcy w realizacji projektów ubiegających się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o dofinansowanie zewnętrzne. Doświadczenie weryfikowane będzie na podstawie złożonego oświadczenia wnioskodawcy zawierającego informację o nr podpisanej i zrealizowanej umowy na dofinansowanie realizacji projektów ze środków zewnętrznych.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Posiadanie przez wnioskodawcę doświadczenia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36946">
              <w:rPr>
                <w:rFonts w:ascii="Century Gothic" w:hAnsi="Century Gothic"/>
                <w:sz w:val="14"/>
                <w:szCs w:val="14"/>
              </w:rPr>
              <w:t>Kryterium przyczyni się do kompleksowej realizacji LSR, a tym samym lepsz</w:t>
            </w:r>
            <w:r>
              <w:rPr>
                <w:rFonts w:ascii="Century Gothic" w:hAnsi="Century Gothic"/>
                <w:sz w:val="14"/>
                <w:szCs w:val="14"/>
              </w:rPr>
              <w:t xml:space="preserve">ej realizacji  Celu </w:t>
            </w:r>
            <w:r w:rsidRPr="00C756C2">
              <w:rPr>
                <w:rFonts w:ascii="Century Gothic" w:hAnsi="Century Gothic"/>
                <w:sz w:val="14"/>
                <w:szCs w:val="14"/>
              </w:rPr>
              <w:t>szczegółowego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II.1 Wspieranie podejmowania i rozwoju działalności gospodarczej i turystyki wiejskiej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>1. Dwóch lub więcej projektów – 5 PKT</w:t>
            </w:r>
          </w:p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2. </w:t>
            </w:r>
            <w:r w:rsidRPr="00044D73">
              <w:rPr>
                <w:rFonts w:ascii="Century Gothic" w:hAnsi="Century Gothic"/>
                <w:color w:val="FF0000"/>
                <w:sz w:val="14"/>
                <w:szCs w:val="14"/>
              </w:rPr>
              <w:t>Jednego projektu</w:t>
            </w:r>
            <w:r w:rsidRPr="00CF24E2">
              <w:rPr>
                <w:rFonts w:ascii="Century Gothic" w:hAnsi="Century Gothic"/>
                <w:sz w:val="14"/>
                <w:szCs w:val="14"/>
              </w:rPr>
              <w:t xml:space="preserve">                          -2 PKT</w:t>
            </w:r>
          </w:p>
          <w:p w:rsidR="00756128" w:rsidRPr="00CF24E2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>3. Wnioskodawca nie posiada doświadczenia w realizacji projektów – 0 PKT</w:t>
            </w:r>
          </w:p>
        </w:tc>
      </w:tr>
      <w:tr w:rsidR="00756128" w:rsidRPr="001E6230" w:rsidTr="00BD73CA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należy do jednej z grup defaworyzowanych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93F96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4"/>
                <w:szCs w:val="14"/>
                <w:u w:val="single"/>
              </w:rPr>
            </w:pPr>
            <w:r w:rsidRPr="00193F96">
              <w:rPr>
                <w:rFonts w:ascii="Century Gothic" w:hAnsi="Century Gothic"/>
                <w:b/>
                <w:sz w:val="14"/>
                <w:szCs w:val="14"/>
                <w:u w:val="single"/>
              </w:rPr>
              <w:t>Dotyczy podejmowania działalności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Ocenie podlega czy wnioskodawcami są osoby należące do grup de faworyzowanych. Ze względu na ograniczony dostęp do rynku pracy premiowane będą wnioski osób należących do następujących grup                         defaworyzowanych: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powyżej 50 roku życia;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- osoby bezrobotne,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- osoby w wieku 18-25 lat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Realizacja operacji wpłynie na zwiększenie dostępności środków na utworzenie działalności gospodarczej dla osób należących do grup            defaworyzowanych.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Wspieranie podejmowania i rozwoju działalności go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spodarczej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i turystyki wiejskiej. 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Wnioskodawca należący do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jednej z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wymienionych grup de faworyzowanych: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756128" w:rsidRPr="00487719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NIE –   0 PKT</w:t>
            </w:r>
          </w:p>
        </w:tc>
      </w:tr>
      <w:tr w:rsidR="00756128" w:rsidRPr="001E6230" w:rsidTr="00BD73CA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487719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1374"/>
            </w:tblGrid>
            <w:tr w:rsidR="00756128" w:rsidRPr="00487719" w:rsidTr="00BD73CA">
              <w:trPr>
                <w:trHeight w:val="100"/>
              </w:trPr>
              <w:tc>
                <w:tcPr>
                  <w:tcW w:w="1374" w:type="dxa"/>
                  <w:shd w:val="clear" w:color="auto" w:fill="auto"/>
                </w:tcPr>
                <w:p w:rsidR="00756128" w:rsidRPr="00487719" w:rsidRDefault="00756128" w:rsidP="00BD73CA">
                  <w:pPr>
                    <w:spacing w:after="0"/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487719">
                    <w:rPr>
                      <w:rFonts w:ascii="Century Gothic" w:hAnsi="Century Gothic"/>
                      <w:sz w:val="14"/>
                      <w:szCs w:val="14"/>
                    </w:rPr>
                    <w:t xml:space="preserve">Wysokość wkładu własnego </w:t>
                  </w:r>
                </w:p>
              </w:tc>
            </w:tr>
          </w:tbl>
          <w:p w:rsidR="00756128" w:rsidRPr="00487719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Kryterium dotyczy rozwijania działalności gospodarczej</w:t>
            </w:r>
          </w:p>
          <w:p w:rsidR="00756128" w:rsidRPr="00A602C5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A602C5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Współfinansowanie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A602C5">
              <w:rPr>
                <w:rFonts w:ascii="Century Gothic" w:hAnsi="Century Gothic"/>
                <w:sz w:val="14"/>
                <w:szCs w:val="14"/>
              </w:rPr>
              <w:t>z udziałem środków własnych beneficjenta, pozwoli na dofinansowanie większej liczby projektów w ramach LSR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A602C5" w:rsidRDefault="00756128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128" w:rsidRPr="00635EA2" w:rsidRDefault="00756128" w:rsidP="00BD73CA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: </w:t>
            </w:r>
          </w:p>
          <w:p w:rsidR="00756128" w:rsidRPr="00635EA2" w:rsidRDefault="00756128" w:rsidP="00756128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>jest większy od wymaganego o minimum 11 punktów procentowych włącznie i więcej -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15 pkt</w:t>
            </w:r>
          </w:p>
          <w:p w:rsidR="00756128" w:rsidRPr="00635EA2" w:rsidRDefault="00756128" w:rsidP="00756128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jest większy od wymaganego od 6 do 10,99 punktów procentowych – 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</w:t>
            </w:r>
          </w:p>
          <w:p w:rsidR="00756128" w:rsidRPr="00635EA2" w:rsidRDefault="00756128" w:rsidP="00756128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jest większy </w:t>
            </w: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>od 0,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>0</w:t>
            </w: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1 do 5,99 punktów procentowych – 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5 pkt</w:t>
            </w:r>
          </w:p>
          <w:p w:rsidR="00756128" w:rsidRPr="00A94407" w:rsidRDefault="00756128" w:rsidP="007561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94407">
              <w:rPr>
                <w:rFonts w:ascii="Century Gothic" w:hAnsi="Century Gothic"/>
                <w:sz w:val="14"/>
                <w:szCs w:val="14"/>
              </w:rPr>
              <w:t xml:space="preserve">jest równy wymaganiom – </w:t>
            </w:r>
            <w:r w:rsidRPr="00A94407">
              <w:rPr>
                <w:rFonts w:ascii="Century Gothic" w:hAnsi="Century Gothic"/>
                <w:b/>
                <w:sz w:val="14"/>
                <w:szCs w:val="14"/>
              </w:rPr>
              <w:t>0 pkt</w:t>
            </w:r>
          </w:p>
        </w:tc>
      </w:tr>
      <w:tr w:rsidR="00756128" w:rsidRPr="00112147" w:rsidTr="00BD73CA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8.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Wprowadzenie tego kryterium przyczyni się do realizacji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12147">
              <w:rPr>
                <w:rFonts w:ascii="Century Gothic" w:hAnsi="Century Gothic"/>
                <w:sz w:val="14"/>
                <w:szCs w:val="14"/>
              </w:rPr>
              <w:t>i lepszego osiągnięcia wszystkich celów strategii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1.TAK – 10 PKT </w:t>
            </w:r>
          </w:p>
          <w:p w:rsidR="00756128" w:rsidRPr="00112147" w:rsidRDefault="00756128" w:rsidP="00BD73CA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 NIE – 0 PKT</w:t>
            </w:r>
          </w:p>
        </w:tc>
      </w:tr>
    </w:tbl>
    <w:p w:rsidR="00756128" w:rsidRPr="001E6230" w:rsidRDefault="00756128" w:rsidP="00756128">
      <w:pPr>
        <w:spacing w:after="0"/>
      </w:pPr>
    </w:p>
    <w:p w:rsidR="00756128" w:rsidRPr="001E6230" w:rsidRDefault="00756128" w:rsidP="00756128"/>
    <w:p w:rsidR="00077030" w:rsidRPr="009D4C45" w:rsidRDefault="00077030" w:rsidP="00FE45CE"/>
    <w:sectPr w:rsidR="00077030" w:rsidRPr="009D4C45" w:rsidSect="00756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11" w:rsidRDefault="009B6F11" w:rsidP="00AE01A0">
      <w:pPr>
        <w:spacing w:after="0" w:line="240" w:lineRule="auto"/>
      </w:pPr>
      <w:r>
        <w:separator/>
      </w:r>
    </w:p>
  </w:endnote>
  <w:endnote w:type="continuationSeparator" w:id="0">
    <w:p w:rsidR="009B6F11" w:rsidRDefault="009B6F11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7B" w:rsidRDefault="00570C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286493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7B" w:rsidRDefault="00570C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11" w:rsidRDefault="009B6F11" w:rsidP="00AE01A0">
      <w:pPr>
        <w:spacing w:after="0" w:line="240" w:lineRule="auto"/>
      </w:pPr>
      <w:r>
        <w:separator/>
      </w:r>
    </w:p>
  </w:footnote>
  <w:footnote w:type="continuationSeparator" w:id="0">
    <w:p w:rsidR="009B6F11" w:rsidRDefault="009B6F11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7B" w:rsidRDefault="00570C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570C7B" w:rsidRDefault="00570C7B" w:rsidP="00AE01A0">
    <w:pPr>
      <w:spacing w:after="0" w:line="240" w:lineRule="auto"/>
      <w:rPr>
        <w:rFonts w:ascii="Arial" w:hAnsi="Arial" w:cs="Arial"/>
        <w:sz w:val="18"/>
        <w:lang w:val="en-US"/>
      </w:rPr>
    </w:pPr>
    <w:r w:rsidRPr="00570C7B">
      <w:rPr>
        <w:rFonts w:ascii="Arial" w:hAnsi="Arial" w:cs="Arial"/>
        <w:sz w:val="18"/>
        <w:lang w:val="en-US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+ 48 795 423 090</w:t>
    </w:r>
    <w:r w:rsidR="00F4117D" w:rsidRPr="00570C7B">
      <w:rPr>
        <w:rFonts w:ascii="Arial" w:hAnsi="Arial" w:cs="Arial"/>
        <w:sz w:val="18"/>
        <w:lang w:val="en-US"/>
      </w:rPr>
      <w:t xml:space="preserve">     e-mail: </w:t>
    </w:r>
    <w:r w:rsidR="00F4117D" w:rsidRPr="00570C7B">
      <w:rPr>
        <w:rFonts w:ascii="Arial" w:hAnsi="Arial" w:cs="Arial"/>
        <w:b/>
        <w:sz w:val="18"/>
        <w:lang w:val="en-US"/>
      </w:rPr>
      <w:t>lgd.trzydoliny@gmail.com</w:t>
    </w:r>
  </w:p>
  <w:p w:rsidR="00F4117D" w:rsidRPr="00FC20DF" w:rsidRDefault="00570C7B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  <w:lang w:val="en-US"/>
      </w:rPr>
      <w:t>tel. kom. + 48 739 246 434</w:t>
    </w:r>
    <w:r w:rsidR="00F4117D" w:rsidRPr="00FC20DF">
      <w:rPr>
        <w:rFonts w:ascii="Arial" w:hAnsi="Arial" w:cs="Arial"/>
        <w:sz w:val="18"/>
        <w:lang w:val="en-US"/>
      </w:rPr>
      <w:t xml:space="preserve">      www.trzydoliny.eu </w:t>
    </w:r>
  </w:p>
  <w:p w:rsidR="00F4117D" w:rsidRDefault="00F4117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7B" w:rsidRDefault="00570C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0D0E7E58"/>
    <w:multiLevelType w:val="hybridMultilevel"/>
    <w:tmpl w:val="05107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206275F4"/>
    <w:multiLevelType w:val="hybridMultilevel"/>
    <w:tmpl w:val="B874C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36"/>
  </w:num>
  <w:num w:numId="4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DB5"/>
    <w:rsid w:val="00077030"/>
    <w:rsid w:val="00115509"/>
    <w:rsid w:val="00152597"/>
    <w:rsid w:val="0019277E"/>
    <w:rsid w:val="00211277"/>
    <w:rsid w:val="00216FE0"/>
    <w:rsid w:val="00255EF4"/>
    <w:rsid w:val="00286493"/>
    <w:rsid w:val="002F340F"/>
    <w:rsid w:val="003615B5"/>
    <w:rsid w:val="003B0303"/>
    <w:rsid w:val="003F01E6"/>
    <w:rsid w:val="0040309C"/>
    <w:rsid w:val="0042443E"/>
    <w:rsid w:val="00426164"/>
    <w:rsid w:val="004452C1"/>
    <w:rsid w:val="004E17A7"/>
    <w:rsid w:val="00507829"/>
    <w:rsid w:val="00513A60"/>
    <w:rsid w:val="00533995"/>
    <w:rsid w:val="00570C7B"/>
    <w:rsid w:val="00665F68"/>
    <w:rsid w:val="00676C52"/>
    <w:rsid w:val="00702B55"/>
    <w:rsid w:val="007260F0"/>
    <w:rsid w:val="00756128"/>
    <w:rsid w:val="007E4731"/>
    <w:rsid w:val="008023DF"/>
    <w:rsid w:val="0085457E"/>
    <w:rsid w:val="00873D42"/>
    <w:rsid w:val="008904B4"/>
    <w:rsid w:val="008D03B2"/>
    <w:rsid w:val="008D5E96"/>
    <w:rsid w:val="0090297C"/>
    <w:rsid w:val="009071E5"/>
    <w:rsid w:val="0096612A"/>
    <w:rsid w:val="009B6F11"/>
    <w:rsid w:val="009D4C45"/>
    <w:rsid w:val="009E4EF1"/>
    <w:rsid w:val="009F5EE1"/>
    <w:rsid w:val="00A52D14"/>
    <w:rsid w:val="00A9117E"/>
    <w:rsid w:val="00A962BD"/>
    <w:rsid w:val="00AE01A0"/>
    <w:rsid w:val="00B55A75"/>
    <w:rsid w:val="00B90EE0"/>
    <w:rsid w:val="00BD0D8C"/>
    <w:rsid w:val="00C22C38"/>
    <w:rsid w:val="00C4283B"/>
    <w:rsid w:val="00C97D79"/>
    <w:rsid w:val="00CD134C"/>
    <w:rsid w:val="00D36B18"/>
    <w:rsid w:val="00DD07E7"/>
    <w:rsid w:val="00DE41F1"/>
    <w:rsid w:val="00DF24D3"/>
    <w:rsid w:val="00E20481"/>
    <w:rsid w:val="00E32EE4"/>
    <w:rsid w:val="00E33A83"/>
    <w:rsid w:val="00E35D71"/>
    <w:rsid w:val="00E959E6"/>
    <w:rsid w:val="00ED2CEF"/>
    <w:rsid w:val="00F30073"/>
    <w:rsid w:val="00F4117D"/>
    <w:rsid w:val="00FC20D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826701-8938-40A4-9E02-7CC8FA3D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1568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LGD3Doliny</cp:lastModifiedBy>
  <cp:revision>3</cp:revision>
  <cp:lastPrinted>2017-01-27T14:37:00Z</cp:lastPrinted>
  <dcterms:created xsi:type="dcterms:W3CDTF">2019-02-18T07:16:00Z</dcterms:created>
  <dcterms:modified xsi:type="dcterms:W3CDTF">2019-03-20T14:45:00Z</dcterms:modified>
</cp:coreProperties>
</file>